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F02228">
        <w:rPr>
          <w:rFonts w:ascii="Times New Roman" w:hAnsi="Times New Roman"/>
          <w:sz w:val="22"/>
          <w:szCs w:val="22"/>
          <w:highlight w:val="lightGray"/>
        </w:rPr>
        <w:t>EUR</w:t>
      </w:r>
      <w:r w:rsidR="00E66B56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F02228">
        <w:rPr>
          <w:rFonts w:ascii="Times New Roman" w:hAnsi="Times New Roman"/>
          <w:sz w:val="22"/>
          <w:szCs w:val="22"/>
          <w:highlight w:val="lightGray"/>
        </w:rPr>
        <w:t xml:space="preserve">Please include a price breakdown based on the outputs/deliverables in the </w:t>
      </w:r>
      <w:r w:rsidR="00530F86">
        <w:rPr>
          <w:rFonts w:ascii="Times New Roman" w:hAnsi="Times New Roman"/>
          <w:sz w:val="22"/>
          <w:szCs w:val="22"/>
          <w:highlight w:val="lightGray"/>
        </w:rPr>
        <w:t>t</w:t>
      </w:r>
      <w:r w:rsidRPr="00F02228">
        <w:rPr>
          <w:rFonts w:ascii="Times New Roman" w:hAnsi="Times New Roman"/>
          <w:sz w:val="22"/>
          <w:szCs w:val="22"/>
          <w:highlight w:val="lightGray"/>
        </w:rPr>
        <w:t xml:space="preserve">erms of </w:t>
      </w:r>
      <w:r w:rsidR="00530F86">
        <w:rPr>
          <w:rFonts w:ascii="Times New Roman" w:hAnsi="Times New Roman"/>
          <w:sz w:val="22"/>
          <w:szCs w:val="22"/>
          <w:highlight w:val="lightGray"/>
        </w:rPr>
        <w:t>r</w:t>
      </w:r>
      <w:r w:rsidRPr="00F02228">
        <w:rPr>
          <w:rFonts w:ascii="Times New Roman" w:hAnsi="Times New Roman"/>
          <w:sz w:val="22"/>
          <w:szCs w:val="22"/>
          <w:highlight w:val="lightGray"/>
        </w:rPr>
        <w:t>eference.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91054" w:rsidTr="00291054">
        <w:trPr>
          <w:trHeight w:val="458"/>
        </w:trPr>
        <w:tc>
          <w:tcPr>
            <w:tcW w:w="3209" w:type="dxa"/>
            <w:vAlign w:val="center"/>
          </w:tcPr>
          <w:p w:rsidR="00291054" w:rsidRPr="00291054" w:rsidRDefault="00291054" w:rsidP="00291054">
            <w:pPr>
              <w:spacing w:after="0"/>
              <w:ind w:firstLineChars="100" w:firstLine="240"/>
              <w:jc w:val="center"/>
              <w:rPr>
                <w:rFonts w:ascii="Times New Roman" w:hAnsi="Times New Roman"/>
                <w:b/>
                <w:color w:val="1F282D"/>
                <w:sz w:val="24"/>
                <w:szCs w:val="24"/>
              </w:rPr>
            </w:pPr>
            <w:r w:rsidRPr="00291054">
              <w:rPr>
                <w:rFonts w:ascii="Times New Roman" w:hAnsi="Times New Roman"/>
                <w:b/>
                <w:color w:val="1F282D"/>
                <w:sz w:val="24"/>
                <w:szCs w:val="24"/>
              </w:rPr>
              <w:t>Expertise</w:t>
            </w:r>
            <w:r>
              <w:rPr>
                <w:rFonts w:ascii="Times New Roman" w:hAnsi="Times New Roman"/>
                <w:b/>
                <w:color w:val="1F282D"/>
                <w:sz w:val="24"/>
                <w:szCs w:val="24"/>
              </w:rPr>
              <w:t>/Deliverable</w:t>
            </w:r>
          </w:p>
        </w:tc>
        <w:tc>
          <w:tcPr>
            <w:tcW w:w="3209" w:type="dxa"/>
          </w:tcPr>
          <w:p w:rsidR="00291054" w:rsidRPr="00291054" w:rsidRDefault="00291054" w:rsidP="002910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Quantity</w:t>
            </w:r>
            <w:bookmarkStart w:id="0" w:name="_GoBack"/>
            <w:bookmarkEnd w:id="0"/>
          </w:p>
        </w:tc>
        <w:tc>
          <w:tcPr>
            <w:tcW w:w="3210" w:type="dxa"/>
          </w:tcPr>
          <w:p w:rsidR="00291054" w:rsidRPr="00291054" w:rsidRDefault="00291054" w:rsidP="00291054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Sum</w:t>
            </w: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spacing w:after="0"/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services_Thematic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 study visits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services_Evaluation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 Workshops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services_Statements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 of Significance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services_Story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 Telling Plots and The Story Telling Inventory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services_Stakeholder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 Skills Survey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services_Training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 Programme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services_Survey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 on the supply side offers of tourism businesses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services_Toolkit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 for the design of experience opportunities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services_The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 Creative Tourism Planning Manual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services_New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 Business Models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services_The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 Visitor Survey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services_Daylight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/Nightlight Guided Tour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services_Pilot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 Projects Plans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services_eBook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services_Evaluation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lastRenderedPageBreak/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services_Heritage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 Game Prototypes at UNESCO sites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1054" w:rsidTr="00674757">
        <w:tc>
          <w:tcPr>
            <w:tcW w:w="3209" w:type="dxa"/>
            <w:vAlign w:val="center"/>
          </w:tcPr>
          <w:p w:rsidR="00291054" w:rsidRPr="00291054" w:rsidRDefault="00291054" w:rsidP="00291054">
            <w:pPr>
              <w:rPr>
                <w:rFonts w:ascii="Times New Roman" w:hAnsi="Times New Roman"/>
                <w:color w:val="1F282D"/>
                <w:sz w:val="18"/>
                <w:szCs w:val="18"/>
              </w:rPr>
            </w:pPr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External expertise and </w:t>
            </w:r>
            <w:proofErr w:type="spellStart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>services_Cultural</w:t>
            </w:r>
            <w:proofErr w:type="spellEnd"/>
            <w:r w:rsidRPr="00291054">
              <w:rPr>
                <w:rFonts w:ascii="Times New Roman" w:hAnsi="Times New Roman"/>
                <w:color w:val="1F282D"/>
                <w:sz w:val="18"/>
                <w:szCs w:val="18"/>
              </w:rPr>
              <w:t xml:space="preserve"> Tourism Package    </w:t>
            </w:r>
          </w:p>
        </w:tc>
        <w:tc>
          <w:tcPr>
            <w:tcW w:w="3209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291054" w:rsidRDefault="00291054" w:rsidP="00291054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7"/>
      <w:footerReference w:type="first" r:id="rId8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B49" w:rsidRDefault="006D3B49">
      <w:r>
        <w:separator/>
      </w:r>
    </w:p>
  </w:endnote>
  <w:endnote w:type="continuationSeparator" w:id="0">
    <w:p w:rsidR="006D3B49" w:rsidRDefault="006D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103129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291054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291054">
      <w:rPr>
        <w:rFonts w:ascii="Times New Roman" w:hAnsi="Times New Roman"/>
        <w:noProof/>
        <w:sz w:val="18"/>
        <w:szCs w:val="18"/>
        <w:lang w:val="en-US"/>
      </w:rPr>
      <w:t>2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B49" w:rsidRDefault="006D3B49">
      <w:r>
        <w:separator/>
      </w:r>
    </w:p>
  </w:footnote>
  <w:footnote w:type="continuationSeparator" w:id="0">
    <w:p w:rsidR="006D3B49" w:rsidRDefault="006D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91054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6D3B49"/>
    <w:rsid w:val="00763E73"/>
    <w:rsid w:val="00775F60"/>
    <w:rsid w:val="00780293"/>
    <w:rsid w:val="007A7550"/>
    <w:rsid w:val="007B6D78"/>
    <w:rsid w:val="007E26C9"/>
    <w:rsid w:val="007F108B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D4D07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A243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E59C54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">
    <w:name w:val="Table Grid"/>
    <w:basedOn w:val="TableNormal"/>
    <w:rsid w:val="00291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Elena Stefan</cp:lastModifiedBy>
  <cp:revision>4</cp:revision>
  <cp:lastPrinted>2006-01-04T13:01:00Z</cp:lastPrinted>
  <dcterms:created xsi:type="dcterms:W3CDTF">2021-11-04T17:26:00Z</dcterms:created>
  <dcterms:modified xsi:type="dcterms:W3CDTF">2021-11-11T17:14:00Z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